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850002"/>
          <w:sz w:val="40"/>
          <w:szCs w:val="40"/>
          <w:lang w:val="es-ES"/>
        </w:rPr>
      </w:pPr>
      <w:proofErr w:type="spellStart"/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  <w:t>Metzorá</w:t>
      </w:r>
      <w:proofErr w:type="spellEnd"/>
      <w:r>
        <w:rPr>
          <w:rFonts w:ascii="Arial" w:hAnsi="Arial" w:cs="Arial"/>
          <w:color w:val="535353"/>
          <w:sz w:val="40"/>
          <w:szCs w:val="40"/>
          <w:lang w:val="es-ES"/>
        </w:rPr>
        <w:t>(Levítico 14-15)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color w:val="0000E9"/>
          <w:sz w:val="28"/>
          <w:szCs w:val="28"/>
          <w:lang w:val="es-ES"/>
        </w:rPr>
      </w:pPr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  <w:fldChar w:fldCharType="begin"/>
      </w:r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  <w:instrText>HYPERLINK "http://www.aishlatino.com/print/?contentID=253659031&amp;section=/tp/s/la-personalidad-humana"</w:instrText>
      </w:r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</w:r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  <w:fldChar w:fldCharType="separate"/>
      </w:r>
      <w:r>
        <w:rPr>
          <w:rFonts w:ascii="Arial" w:hAnsi="Arial" w:cs="Arial"/>
          <w:noProof/>
          <w:color w:val="0000E9"/>
          <w:sz w:val="28"/>
          <w:szCs w:val="28"/>
          <w:lang w:val="es-ES"/>
        </w:rPr>
        <w:drawing>
          <wp:inline distT="0" distB="0" distL="0" distR="0" wp14:anchorId="218F4314" wp14:editId="100D09AB">
            <wp:extent cx="990600" cy="254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b/>
          <w:bCs/>
          <w:color w:val="850002"/>
          <w:sz w:val="40"/>
          <w:szCs w:val="40"/>
          <w:lang w:val="es-ES"/>
        </w:rPr>
        <w:fldChar w:fldCharType="end"/>
      </w:r>
      <w:r>
        <w:rPr>
          <w:rFonts w:ascii="Arial" w:hAnsi="Arial" w:cs="Arial"/>
          <w:sz w:val="40"/>
          <w:szCs w:val="40"/>
          <w:lang w:val="es-ES"/>
        </w:rPr>
        <w:t xml:space="preserve">El </w:t>
      </w:r>
      <w:proofErr w:type="spellStart"/>
      <w:r>
        <w:rPr>
          <w:rFonts w:ascii="Arial" w:hAnsi="Arial" w:cs="Arial"/>
          <w:sz w:val="40"/>
          <w:szCs w:val="40"/>
          <w:lang w:val="es-ES"/>
        </w:rPr>
        <w:t>lashón</w:t>
      </w:r>
      <w:proofErr w:type="spellEnd"/>
      <w:r>
        <w:rPr>
          <w:rFonts w:ascii="Arial" w:hAnsi="Arial" w:cs="Arial"/>
          <w:sz w:val="40"/>
          <w:szCs w:val="40"/>
          <w:lang w:val="es-ES"/>
        </w:rPr>
        <w:t xml:space="preserve"> hará separa a la persona que la habla de quien la escucha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“</w:t>
      </w:r>
      <w:r>
        <w:rPr>
          <w:rFonts w:ascii="Arial" w:hAnsi="Arial" w:cs="Arial"/>
          <w:i/>
          <w:iCs/>
          <w:sz w:val="32"/>
          <w:szCs w:val="32"/>
          <w:lang w:val="es-ES"/>
        </w:rPr>
        <w:t xml:space="preserve">Dios habló 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Moshé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, diciendo: ‘Ésta será la ley del enfermo de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el día de su purificación: será llevado al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cohén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… El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cohén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dará órdenes; y para la persona a la que se purifica se tomarán dos pájaros puros, vivos, madera de cedro, hebra carmesí e hisopo… Y tomará al pájaro vivo con la madera de acacia, la hebra carmesí y el hisopo, y los mojará juntos en la sangre del pájaro que fue sacrificado sobre el agua de manantial...’”</w:t>
      </w:r>
      <w:r>
        <w:rPr>
          <w:rFonts w:ascii="Arial" w:hAnsi="Arial" w:cs="Arial"/>
          <w:sz w:val="32"/>
          <w:szCs w:val="32"/>
          <w:lang w:val="es-ES"/>
        </w:rPr>
        <w:t xml:space="preserve"> (</w:t>
      </w:r>
      <w:proofErr w:type="spellStart"/>
      <w:r>
        <w:rPr>
          <w:rFonts w:ascii="Arial" w:hAnsi="Arial" w:cs="Arial"/>
          <w:sz w:val="32"/>
          <w:szCs w:val="32"/>
          <w:lang w:val="es-ES"/>
        </w:rPr>
        <w:t>Vayikrá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14:1-6).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Esta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parashá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de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Metzorá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se ocupa, como la anterior de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Tazría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, casi en su totalidad de las leyes de la </w:t>
      </w:r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1</w:t>
      </w:r>
      <w:r>
        <w:rPr>
          <w:rFonts w:ascii="Arial" w:hAnsi="Arial" w:cs="Arial"/>
          <w:sz w:val="32"/>
          <w:szCs w:val="32"/>
          <w:lang w:val="es-ES"/>
        </w:rPr>
        <w:t xml:space="preserve">. Cuando la persona que sufría de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se purificaba, debía llevar un pájaro como sacrificio.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Rashí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explica por qué se usaba un pájaro como vehículo de expiación: Ya que las llagas de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fueron por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, y como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son balbuceos de palabras, debe presentar un pájaro cuyo trinar es como balbuceo de palabras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2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La enfermedad de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afectó a la persona como consecuencia del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que dijo. En la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parashát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Tazría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el versículo señala que también se aislaba a la persona que tenía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: “Todos los días que la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estaba en él, será impuro; en la soledad habitará, fuera del campamento será su morada”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3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proofErr w:type="spellStart"/>
      <w:r>
        <w:rPr>
          <w:rFonts w:ascii="Arial" w:hAnsi="Arial" w:cs="Arial"/>
          <w:sz w:val="32"/>
          <w:szCs w:val="32"/>
          <w:lang w:val="es-ES"/>
        </w:rPr>
        <w:t>Rashí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también explica por qué la persona con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tzaraat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debía estar fuera del campamento: “Ya que la persona separó con su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a un hombre de su esposa, a un hombre de su prójimo, y por lo tanto, él también deberá ser separado”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4</w:t>
      </w:r>
      <w:r>
        <w:rPr>
          <w:rFonts w:ascii="Arial" w:hAnsi="Arial" w:cs="Arial"/>
          <w:sz w:val="32"/>
          <w:szCs w:val="32"/>
          <w:lang w:val="es-ES"/>
        </w:rPr>
        <w:t xml:space="preserve">. En otras palabras, ya que esa persona habló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y el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separa a las personas, esa persona también deberá ser separada de los demás.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De la explicación de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Rashí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entendemos que el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</w:t>
      </w:r>
      <w:r>
        <w:rPr>
          <w:rFonts w:ascii="Arial" w:hAnsi="Arial" w:cs="Arial"/>
          <w:sz w:val="32"/>
          <w:szCs w:val="32"/>
          <w:lang w:val="es-ES"/>
        </w:rPr>
        <w:lastRenderedPageBreak/>
        <w:t xml:space="preserve">separa a las personas, pero aparentemente no siempre es así: la persona que habla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se une a quien se la está diciendo. Tomemos por ejemplo que X habló derogatoriamente a Y de Z. A partir de ese momento, Y se distancia de Z, pero X se unió a Y, lo usó de cómplice, le reveló un secreto de Z. A partir de ahora, X está más cercano a Y </w:t>
      </w:r>
      <w:proofErr w:type="spellStart"/>
      <w:r>
        <w:rPr>
          <w:rFonts w:ascii="Arial" w:hAnsi="Arial" w:cs="Arial"/>
          <w:sz w:val="32"/>
          <w:szCs w:val="32"/>
          <w:lang w:val="es-ES"/>
        </w:rPr>
        <w:t>y</w:t>
      </w:r>
      <w:proofErr w:type="spellEnd"/>
      <w:r>
        <w:rPr>
          <w:rFonts w:ascii="Arial" w:hAnsi="Arial" w:cs="Arial"/>
          <w:sz w:val="32"/>
          <w:szCs w:val="32"/>
          <w:lang w:val="es-ES"/>
        </w:rPr>
        <w:t xml:space="preserve"> están más unidos por los secretos que compartieron. ¿Por qué la Torá establece que ahora X deberá separarse de Y, si no se separó de él, sino que se unieron más? Si es así, no se entiende por qué la persona que habló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deberá separarse también de aquella que la está escuchando.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La razón es porque si uno habla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, no solamente separa a la persona a quienes le habla de las personas de quienes les habla, sino también se separa de la persona a quién le está hablando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Encontramos esta idea en el primer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que se habló en la historia, cuando la víbora le dijo a Java que no debía tener miedo de comer del árbol del conocimiento del bien y del mal, diciéndole que Dios prohibió comer de esa fruta porque Él era envidioso y no quería que hubiese otro como Él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5</w:t>
      </w:r>
      <w:r>
        <w:rPr>
          <w:rFonts w:ascii="Arial" w:hAnsi="Arial" w:cs="Arial"/>
          <w:sz w:val="32"/>
          <w:szCs w:val="32"/>
          <w:lang w:val="es-ES"/>
        </w:rPr>
        <w:t xml:space="preserve">. La víbora habló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de Dios a Eva y el resultado fue que la víbora se separó de Eva: “Colocaré enemistad entre tú y la mujer, entre tu descendencia y la de ella”</w:t>
      </w:r>
      <w:r>
        <w:rPr>
          <w:rFonts w:ascii="Arial" w:hAnsi="Arial" w:cs="Arial"/>
          <w:sz w:val="26"/>
          <w:szCs w:val="26"/>
          <w:vertAlign w:val="superscript"/>
          <w:lang w:val="es-ES"/>
        </w:rPr>
        <w:t>6</w:t>
      </w:r>
      <w:r>
        <w:rPr>
          <w:rFonts w:ascii="Arial" w:hAnsi="Arial" w:cs="Arial"/>
          <w:sz w:val="32"/>
          <w:szCs w:val="32"/>
          <w:lang w:val="es-ES"/>
        </w:rPr>
        <w:t>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Cuando una persona habla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, no solamente separa a otros de la persona de quién está hablando esa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, sino eventualmente también provoca separación entre la persona que habla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y la persona que la escucha.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 xml:space="preserve">Este es un mensaje muy poderoso: antes de hablar </w:t>
      </w:r>
      <w:proofErr w:type="spellStart"/>
      <w:r>
        <w:rPr>
          <w:rFonts w:ascii="Arial" w:hAnsi="Arial" w:cs="Arial"/>
          <w:i/>
          <w:iCs/>
          <w:sz w:val="32"/>
          <w:szCs w:val="32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32"/>
          <w:szCs w:val="32"/>
          <w:lang w:val="es-ES"/>
        </w:rPr>
        <w:t xml:space="preserve"> hará</w:t>
      </w:r>
      <w:r>
        <w:rPr>
          <w:rFonts w:ascii="Arial" w:hAnsi="Arial" w:cs="Arial"/>
          <w:sz w:val="32"/>
          <w:szCs w:val="32"/>
          <w:lang w:val="es-ES"/>
        </w:rPr>
        <w:t xml:space="preserve"> de alguien, recuerda que esas palabras también te separarán eventualmente de la persona a quién se las estás diciendo.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1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Tzaraat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no es la enfermedad de Hansen, producida por ciertas bacterias. Los sabios señalan repetidas veces que es una enfermedad causada por cierto tipo de trasgresiones, siendo la más común de ellas la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lashón</w:t>
      </w:r>
      <w:proofErr w:type="spellEnd"/>
      <w:r>
        <w:rPr>
          <w:rFonts w:ascii="Arial" w:hAnsi="Arial" w:cs="Arial"/>
          <w:i/>
          <w:iCs/>
          <w:sz w:val="26"/>
          <w:szCs w:val="26"/>
          <w:lang w:val="es-ES"/>
        </w:rPr>
        <w:t xml:space="preserve"> hará</w:t>
      </w:r>
      <w:r>
        <w:rPr>
          <w:rFonts w:ascii="Arial" w:hAnsi="Arial" w:cs="Arial"/>
          <w:sz w:val="26"/>
          <w:szCs w:val="26"/>
          <w:lang w:val="es-ES"/>
        </w:rPr>
        <w:t>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2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Rashí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Vayikrá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14:4.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3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Vayikrá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13:46.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4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Rashí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a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Vayikrá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13:46.</w:t>
      </w:r>
    </w:p>
    <w:p w:rsidR="003646E1" w:rsidRDefault="003646E1" w:rsidP="003646E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26"/>
          <w:szCs w:val="26"/>
          <w:lang w:val="es-ES"/>
        </w:rPr>
        <w:t xml:space="preserve">5 Véase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Rashí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Bereshit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3:5.</w:t>
      </w:r>
    </w:p>
    <w:p w:rsidR="009E648C" w:rsidRDefault="003646E1" w:rsidP="003646E1">
      <w:r>
        <w:rPr>
          <w:rFonts w:ascii="Arial" w:hAnsi="Arial" w:cs="Arial"/>
          <w:sz w:val="26"/>
          <w:szCs w:val="26"/>
          <w:lang w:val="es-ES"/>
        </w:rPr>
        <w:t xml:space="preserve">6 No entre la víbora y Adam, sino entre la víbora y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Javá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. Véase </w:t>
      </w:r>
      <w:proofErr w:type="spellStart"/>
      <w:r>
        <w:rPr>
          <w:rFonts w:ascii="Arial" w:hAnsi="Arial" w:cs="Arial"/>
          <w:i/>
          <w:iCs/>
          <w:sz w:val="26"/>
          <w:szCs w:val="26"/>
          <w:lang w:val="es-ES"/>
        </w:rPr>
        <w:t>Bereshit</w:t>
      </w:r>
      <w:proofErr w:type="spellEnd"/>
      <w:r>
        <w:rPr>
          <w:rFonts w:ascii="Arial" w:hAnsi="Arial" w:cs="Arial"/>
          <w:sz w:val="26"/>
          <w:szCs w:val="26"/>
          <w:lang w:val="es-ES"/>
        </w:rPr>
        <w:t xml:space="preserve"> 3:15, con </w:t>
      </w:r>
      <w:proofErr w:type="spellStart"/>
      <w:r>
        <w:rPr>
          <w:rFonts w:ascii="Arial" w:hAnsi="Arial" w:cs="Arial"/>
          <w:sz w:val="26"/>
          <w:szCs w:val="26"/>
          <w:lang w:val="es-ES"/>
        </w:rPr>
        <w:t>Rashí</w:t>
      </w:r>
      <w:proofErr w:type="spellEnd"/>
      <w:r>
        <w:rPr>
          <w:rFonts w:ascii="Arial" w:hAnsi="Arial" w:cs="Arial"/>
          <w:sz w:val="26"/>
          <w:szCs w:val="26"/>
          <w:lang w:val="es-ES"/>
        </w:rPr>
        <w:t>.</w:t>
      </w:r>
      <w:bookmarkStart w:id="0" w:name="_GoBack"/>
      <w:bookmarkEnd w:id="0"/>
    </w:p>
    <w:sectPr w:rsidR="009E648C" w:rsidSect="002827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E1"/>
    <w:rsid w:val="002827E5"/>
    <w:rsid w:val="003646E1"/>
    <w:rsid w:val="009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B29D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6E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6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46E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6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3370</Characters>
  <Application>Microsoft Macintosh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2017-11-02T17:22:00Z</dcterms:created>
  <dcterms:modified xsi:type="dcterms:W3CDTF">2017-11-02T17:22:00Z</dcterms:modified>
</cp:coreProperties>
</file>