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05" w:rsidRPr="00397705" w:rsidRDefault="00397705" w:rsidP="0039770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28"/>
          <w:szCs w:val="28"/>
          <w:lang w:val="en-US"/>
        </w:rPr>
      </w:pPr>
      <w:r w:rsidRPr="00397705">
        <w:rPr>
          <w:rFonts w:ascii="Helvetica" w:hAnsi="Helvetica" w:cs="Times New Roman"/>
          <w:sz w:val="28"/>
          <w:szCs w:val="28"/>
          <w:lang w:val="en-US"/>
        </w:rPr>
        <w:fldChar w:fldCharType="begin"/>
      </w:r>
      <w:r w:rsidRPr="00397705">
        <w:rPr>
          <w:rFonts w:ascii="Helvetica" w:hAnsi="Helvetica" w:cs="Times New Roman"/>
          <w:sz w:val="28"/>
          <w:szCs w:val="28"/>
          <w:lang w:val="en-US"/>
        </w:rPr>
        <w:instrText>HYPERLINK "https://www.facebook.com/sharer/sharer.php?kid_directed_site=0&amp;sdk=joey&amp;u=http%3A%2F%2Fes.chabad.org%2F2600736%3Fsc%3Dfb_share&amp;display=popup&amp;ref=plugin&amp;src=share_button"</w:instrText>
      </w:r>
      <w:r w:rsidRPr="00397705">
        <w:rPr>
          <w:rFonts w:ascii="Helvetica" w:hAnsi="Helvetica" w:cs="Times New Roman"/>
          <w:sz w:val="28"/>
          <w:szCs w:val="28"/>
          <w:lang w:val="en-US"/>
        </w:rPr>
      </w:r>
      <w:r w:rsidRPr="00397705">
        <w:rPr>
          <w:rFonts w:ascii="Helvetica" w:hAnsi="Helvetica" w:cs="Times New Roman"/>
          <w:sz w:val="28"/>
          <w:szCs w:val="28"/>
          <w:lang w:val="en-US"/>
        </w:rPr>
        <w:fldChar w:fldCharType="separate"/>
      </w:r>
      <w:r w:rsidRPr="00397705">
        <w:rPr>
          <w:rFonts w:ascii="Helvetica" w:hAnsi="Helvetica" w:cs="Helvetica"/>
          <w:b/>
          <w:bCs/>
          <w:color w:val="FFFFFF"/>
          <w:sz w:val="28"/>
          <w:szCs w:val="28"/>
          <w:lang w:val="en-US"/>
        </w:rPr>
        <w:t>Share</w:t>
      </w:r>
      <w:r w:rsidRPr="00397705">
        <w:rPr>
          <w:rFonts w:ascii="Helvetica" w:hAnsi="Helvetica" w:cs="Helvetica"/>
          <w:color w:val="FFFFFF"/>
          <w:sz w:val="28"/>
          <w:szCs w:val="28"/>
          <w:lang w:val="en-US"/>
        </w:rPr>
        <w:t>80</w:t>
      </w:r>
    </w:p>
    <w:p w:rsidR="00397705" w:rsidRPr="00397705" w:rsidRDefault="00397705" w:rsidP="00397705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  <w:lang w:val="en-US"/>
        </w:rPr>
      </w:pPr>
      <w:r w:rsidRPr="00397705">
        <w:rPr>
          <w:rFonts w:ascii="Helvetica" w:hAnsi="Helvetica" w:cs="Times New Roman"/>
          <w:sz w:val="28"/>
          <w:szCs w:val="28"/>
          <w:lang w:val="en-US"/>
        </w:rPr>
        <w:fldChar w:fldCharType="end"/>
      </w:r>
      <w:hyperlink r:id="rId5" w:history="1">
        <w:proofErr w:type="spellStart"/>
        <w:r w:rsidRPr="00397705">
          <w:rPr>
            <w:rFonts w:ascii="Helvetica Neue Medium" w:hAnsi="Helvetica Neue Medium" w:cs="Helvetica Neue Medium"/>
            <w:color w:val="FFFFFF"/>
            <w:sz w:val="28"/>
            <w:szCs w:val="28"/>
            <w:lang w:val="en-US"/>
          </w:rPr>
          <w:t>Twittear</w:t>
        </w:r>
        <w:proofErr w:type="spellEnd"/>
      </w:hyperlink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"/>
      </w:tblGrid>
      <w:tr w:rsidR="00397705" w:rsidRPr="00397705">
        <w:tblPrEx>
          <w:tblCellMar>
            <w:top w:w="0" w:type="dxa"/>
            <w:bottom w:w="0" w:type="dxa"/>
          </w:tblCellMar>
        </w:tblPrEx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97705" w:rsidRPr="00397705" w:rsidRDefault="00397705" w:rsidP="00397705">
            <w:pPr>
              <w:rPr>
                <w:rFonts w:ascii="Arial" w:hAnsi="Arial" w:cs="Arial"/>
                <w:color w:val="535353"/>
                <w:sz w:val="28"/>
                <w:szCs w:val="28"/>
                <w:lang w:val="en-US"/>
              </w:rPr>
            </w:pPr>
          </w:p>
        </w:tc>
      </w:tr>
    </w:tbl>
    <w:p w:rsidR="00397705" w:rsidRPr="00397705" w:rsidRDefault="00397705" w:rsidP="00397705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  <w:lang w:val="en-US"/>
        </w:rPr>
      </w:pPr>
    </w:p>
    <w:p w:rsidR="00397705" w:rsidRPr="00397705" w:rsidRDefault="00397705" w:rsidP="00397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en-US"/>
        </w:rPr>
      </w:pPr>
      <w:bookmarkStart w:id="0" w:name="_GoBack"/>
      <w:r w:rsidRPr="0039770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5A1E230" wp14:editId="1E6F2BDF">
            <wp:extent cx="2004132" cy="20142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32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7705" w:rsidRPr="00397705" w:rsidRDefault="00397705" w:rsidP="0039770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</w:p>
    <w:p w:rsidR="00397705" w:rsidRPr="00397705" w:rsidRDefault="00397705" w:rsidP="0039770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habitual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se compare al pueblo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judío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con la </w:t>
      </w:r>
      <w:proofErr w:type="spellStart"/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A lo</w:t>
      </w:r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largo de la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historia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hemos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iluminado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hemos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apagado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incluso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en los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momentos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oscuridad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profunda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no </w:t>
      </w:r>
      <w:proofErr w:type="spellStart"/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hemos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extinguido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. Este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motivos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cuales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celebramos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aparición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primera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cielo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nocturno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>.</w:t>
      </w:r>
    </w:p>
    <w:p w:rsidR="0058557E" w:rsidRPr="00397705" w:rsidRDefault="00397705" w:rsidP="00397705">
      <w:pPr>
        <w:rPr>
          <w:rFonts w:ascii="Arial" w:hAnsi="Arial" w:cs="Arial"/>
          <w:sz w:val="28"/>
          <w:szCs w:val="28"/>
          <w:lang w:val="en-US"/>
        </w:rPr>
      </w:pPr>
      <w:r w:rsidRPr="00397705">
        <w:rPr>
          <w:rFonts w:ascii="Arial" w:hAnsi="Arial" w:cs="Arial"/>
          <w:sz w:val="28"/>
          <w:szCs w:val="28"/>
          <w:lang w:val="en-US"/>
        </w:rPr>
        <w:t xml:space="preserve">Rosh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Jodesh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“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cabeza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”, y de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hecho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o dos, de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celebración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marcan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comienzo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lunar</w:t>
      </w:r>
    </w:p>
    <w:p w:rsidR="00397705" w:rsidRPr="00397705" w:rsidRDefault="00397705" w:rsidP="00397705">
      <w:pPr>
        <w:rPr>
          <w:rFonts w:ascii="Arial" w:hAnsi="Arial" w:cs="Arial"/>
          <w:sz w:val="28"/>
          <w:szCs w:val="28"/>
          <w:lang w:val="en-US"/>
        </w:rPr>
      </w:pPr>
    </w:p>
    <w:p w:rsidR="00397705" w:rsidRPr="00397705" w:rsidRDefault="00397705" w:rsidP="00397705">
      <w:pPr>
        <w:rPr>
          <w:rFonts w:ascii="Arial" w:hAnsi="Arial" w:cs="Arial"/>
          <w:sz w:val="28"/>
          <w:szCs w:val="28"/>
          <w:lang w:val="en-US"/>
        </w:rPr>
      </w:pPr>
      <w:r w:rsidRPr="00397705">
        <w:rPr>
          <w:rFonts w:ascii="Arial" w:hAnsi="Arial" w:cs="Arial"/>
          <w:sz w:val="28"/>
          <w:szCs w:val="28"/>
          <w:lang w:val="en-US"/>
        </w:rPr>
        <w:t>¿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Cuándo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>?</w:t>
      </w:r>
    </w:p>
    <w:p w:rsidR="00397705" w:rsidRPr="00397705" w:rsidRDefault="00397705" w:rsidP="0039770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 xml:space="preserve">En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calendario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judío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los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vinculados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ciclo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lunar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tienen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entre 29 y 30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finalizar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30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último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dicho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y el primer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considerados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Rosh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Jodesh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. 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finalizar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29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solo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será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Rosh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Jodesh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el primer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397705">
        <w:rPr>
          <w:rFonts w:ascii="Arial" w:hAnsi="Arial" w:cs="Arial"/>
          <w:sz w:val="28"/>
          <w:szCs w:val="28"/>
          <w:lang w:val="en-US"/>
        </w:rPr>
        <w:t xml:space="preserve">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igual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en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calendario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judío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Rosh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Jodesh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comienza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anochecer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precedente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397705" w:rsidRPr="00397705" w:rsidRDefault="00397705" w:rsidP="00397705">
      <w:pPr>
        <w:rPr>
          <w:sz w:val="28"/>
          <w:szCs w:val="28"/>
        </w:rPr>
      </w:pPr>
      <w:r w:rsidRPr="00397705">
        <w:rPr>
          <w:rFonts w:ascii="Arial" w:hAnsi="Arial" w:cs="Arial"/>
          <w:sz w:val="28"/>
          <w:szCs w:val="28"/>
          <w:lang w:val="en-US"/>
        </w:rPr>
        <w:t xml:space="preserve">En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tiempos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pretéritos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397705">
        <w:rPr>
          <w:rFonts w:ascii="Arial" w:hAnsi="Arial" w:cs="Arial"/>
          <w:i/>
          <w:iCs/>
          <w:sz w:val="28"/>
          <w:szCs w:val="28"/>
          <w:lang w:val="en-US"/>
        </w:rPr>
        <w:t>beit</w:t>
      </w:r>
      <w:proofErr w:type="spellEnd"/>
      <w:r w:rsidRPr="00397705">
        <w:rPr>
          <w:rFonts w:ascii="Arial" w:hAnsi="Arial" w:cs="Arial"/>
          <w:i/>
          <w:iCs/>
          <w:sz w:val="28"/>
          <w:szCs w:val="28"/>
          <w:lang w:val="en-US"/>
        </w:rPr>
        <w:t xml:space="preserve"> din</w:t>
      </w:r>
      <w:r w:rsidRPr="00397705">
        <w:rPr>
          <w:rFonts w:ascii="Arial" w:hAnsi="Arial" w:cs="Arial"/>
          <w:sz w:val="28"/>
          <w:szCs w:val="28"/>
          <w:lang w:val="en-US"/>
        </w:rPr>
        <w:t xml:space="preserve">, el tribunal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judío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era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determinaba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cuándo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acontecía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Rosh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Jodesh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solo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luego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dos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testigos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fiables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dijeran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haber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visto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nueva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Desde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siglo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cuarto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, sin embargo,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se ha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determinado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conforme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calendario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tenemos</w:t>
      </w:r>
      <w:proofErr w:type="spellEnd"/>
      <w:r w:rsidRPr="00397705">
        <w:rPr>
          <w:rFonts w:ascii="Arial" w:hAnsi="Arial" w:cs="Arial"/>
          <w:sz w:val="28"/>
          <w:szCs w:val="28"/>
          <w:lang w:val="en-US"/>
        </w:rPr>
        <w:t xml:space="preserve"> en la </w:t>
      </w:r>
      <w:proofErr w:type="spellStart"/>
      <w:r w:rsidRPr="00397705">
        <w:rPr>
          <w:rFonts w:ascii="Arial" w:hAnsi="Arial" w:cs="Arial"/>
          <w:sz w:val="28"/>
          <w:szCs w:val="28"/>
          <w:lang w:val="en-US"/>
        </w:rPr>
        <w:t>actualida</w:t>
      </w:r>
      <w:proofErr w:type="spellEnd"/>
    </w:p>
    <w:sectPr w:rsidR="00397705" w:rsidRPr="00397705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05"/>
    <w:rsid w:val="00397705"/>
    <w:rsid w:val="0058557E"/>
    <w:rsid w:val="008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7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7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witter.com/intent/tweet?original_referer=http%3A%2F%2Fes.chabad.org%2Flibrary%2Farticle_cdo%2Faid%2F2600736%2Fjewish%2FRosh-Jodesh.htm&amp;ref_src=twsrc%5Etfw&amp;text=Rosh%20Jodesh%20-%20La%20luna%20nueva%20jud%C3%ADa%20-%20Juda%C3%ADsmo&amp;tw_p=tweetbutton&amp;url=http%3A%2F%2Fes.chabad.org%2F2600736%3Fsc%3Dtw_share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2017-08-17T23:00:00Z</dcterms:created>
  <dcterms:modified xsi:type="dcterms:W3CDTF">2017-08-17T23:04:00Z</dcterms:modified>
</cp:coreProperties>
</file>